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51" w:beforeLines="80" w:after="157" w:afterLines="5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FF0000"/>
          <w:sz w:val="72"/>
          <w:szCs w:val="7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FF0000"/>
          <w:sz w:val="72"/>
          <w:szCs w:val="72"/>
          <w:lang w:eastAsia="zh-CN"/>
        </w:rPr>
        <w:t>南雄市扶贫开发领导小组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51" w:beforeLines="80" w:after="157" w:afterLines="5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_GB2312" w:hAnsi="华文中宋" w:eastAsia="仿宋_GB2312"/>
          <w:color w:val="000000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FF0000"/>
          <w:sz w:val="72"/>
          <w:szCs w:val="72"/>
          <w:lang w:eastAsia="zh-CN"/>
        </w:rPr>
        <w:t>办公室</w:t>
      </w:r>
    </w:p>
    <w:p>
      <w:pPr>
        <w:snapToGrid w:val="0"/>
        <w:spacing w:before="249" w:beforeLines="80" w:after="156" w:afterLines="50" w:line="360" w:lineRule="exact"/>
        <w:jc w:val="center"/>
        <w:rPr>
          <w:rFonts w:hint="eastAsia" w:ascii="仿宋_GB2312" w:hAnsi="华文中宋" w:eastAsia="仿宋_GB2312"/>
          <w:color w:val="000000"/>
          <w:sz w:val="32"/>
          <w:szCs w:val="32"/>
        </w:rPr>
      </w:pPr>
    </w:p>
    <w:p>
      <w:pPr>
        <w:snapToGrid w:val="0"/>
        <w:spacing w:before="249" w:beforeLines="80" w:after="156" w:afterLines="50" w:line="360" w:lineRule="exact"/>
        <w:jc w:val="center"/>
        <w:rPr>
          <w:rFonts w:hint="eastAsia" w:ascii="仿宋_GB2312" w:hAnsi="华文中宋" w:eastAsia="仿宋_GB2312"/>
          <w:color w:val="000000"/>
          <w:sz w:val="32"/>
          <w:szCs w:val="32"/>
        </w:rPr>
      </w:pPr>
      <w:r>
        <w:rPr>
          <w:rFonts w:hint="eastAsia" w:ascii="仿宋_GB2312" w:hAnsi="华文中宋" w:eastAsia="仿宋_GB2312"/>
          <w:color w:val="000000"/>
          <w:sz w:val="32"/>
          <w:szCs w:val="32"/>
        </w:rPr>
        <w:t>雄扶办</w:t>
      </w:r>
      <w:r>
        <w:rPr>
          <w:rFonts w:hint="eastAsia" w:ascii="仿宋_GB2312" w:hAnsi="Arial" w:eastAsia="仿宋_GB2312" w:cs="Arial"/>
          <w:color w:val="000000"/>
          <w:sz w:val="32"/>
          <w:szCs w:val="32"/>
        </w:rPr>
        <w:t>〔201</w:t>
      </w:r>
      <w:r>
        <w:rPr>
          <w:rFonts w:hint="eastAsia" w:ascii="仿宋_GB2312" w:hAnsi="Arial" w:eastAsia="仿宋_GB2312" w:cs="Arial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hAnsi="Arial" w:eastAsia="仿宋_GB2312" w:cs="Arial"/>
          <w:color w:val="000000"/>
          <w:sz w:val="32"/>
          <w:szCs w:val="32"/>
        </w:rPr>
        <w:t>〕</w:t>
      </w:r>
      <w:r>
        <w:rPr>
          <w:rFonts w:hint="eastAsia" w:ascii="仿宋_GB2312" w:hAnsi="Arial" w:eastAsia="仿宋_GB2312" w:cs="Arial"/>
          <w:color w:val="000000"/>
          <w:sz w:val="32"/>
          <w:szCs w:val="32"/>
          <w:lang w:val="en-US" w:eastAsia="zh-CN"/>
        </w:rPr>
        <w:t>16</w:t>
      </w:r>
      <w:r>
        <w:rPr>
          <w:rFonts w:hint="eastAsia" w:ascii="仿宋_GB2312" w:hAnsi="Arial" w:eastAsia="仿宋_GB2312" w:cs="Arial"/>
          <w:color w:val="000000"/>
          <w:sz w:val="32"/>
          <w:szCs w:val="32"/>
        </w:rPr>
        <w:t>号</w:t>
      </w:r>
    </w:p>
    <w:p>
      <w:pPr>
        <w:spacing w:line="600" w:lineRule="exact"/>
        <w:jc w:val="both"/>
        <w:rPr>
          <w:rFonts w:hint="eastAsia" w:ascii="仿宋_GB2312" w:hAnsi="华文中宋" w:eastAsia="仿宋_GB2312"/>
          <w:b/>
          <w:color w:val="000000"/>
          <w:sz w:val="32"/>
          <w:szCs w:val="32"/>
        </w:rPr>
      </w:pPr>
      <w:r>
        <w:rPr>
          <w:rFonts w:hint="eastAsia" w:ascii="仿宋_GB2312" w:hAnsi="华文中宋" w:eastAsia="仿宋_GB2312"/>
          <w:b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-139700</wp:posOffset>
                </wp:positionH>
                <wp:positionV relativeFrom="paragraph">
                  <wp:posOffset>32385</wp:posOffset>
                </wp:positionV>
                <wp:extent cx="5553710" cy="10160"/>
                <wp:effectExtent l="0" t="13970" r="8890" b="33020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3710" cy="10160"/>
                        </a:xfrm>
                        <a:prstGeom prst="line">
                          <a:avLst/>
                        </a:prstGeom>
                        <a:ln w="28575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" o:spid="_x0000_s1026" o:spt="20" style="position:absolute;left:0pt;margin-left:-11pt;margin-top:2.55pt;height:0.8pt;width:437.3pt;z-index:251660288;mso-width-relative:page;mso-height-relative:page;" filled="f" stroked="t" coordsize="21600,21600" o:gfxdata="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HFN2W/WAAAABwEAAA8AAAAAAAAAAQAgAAAAIgAAAGRycy9kb3du&#10;cmV2LnhtbFBLAQIUABQAAAAIAIdO4kAp8cZpyAEAAJADAAAOAAAAAAAAAAEAIAAAACUBAABkcnMv&#10;ZTJvRG9jLnhtbFBLBQYAAAAABgAGAFkBAABfBQAAAAA=&#10;">
                <v:fill on="f" focussize="0,0"/>
                <v:stroke weight="2.25pt" color="#FF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center"/>
        <w:textAlignment w:val="auto"/>
        <w:outlineLvl w:val="9"/>
        <w:rPr>
          <w:rFonts w:hint="eastAsia" w:ascii="方正小标宋简体" w:hAnsi="仿宋_GB2312" w:eastAsia="方正小标宋简体" w:cs="仿宋_GB2312"/>
          <w:sz w:val="44"/>
          <w:szCs w:val="44"/>
        </w:rPr>
      </w:pPr>
      <w:r>
        <w:rPr>
          <w:rFonts w:hint="eastAsia" w:ascii="方正小标宋简体" w:hAnsi="仿宋_GB2312" w:eastAsia="方正小标宋简体" w:cs="仿宋_GB2312"/>
          <w:sz w:val="44"/>
          <w:szCs w:val="44"/>
        </w:rPr>
        <w:t>关于下达201</w:t>
      </w:r>
      <w:r>
        <w:rPr>
          <w:rFonts w:hint="eastAsia" w:ascii="方正小标宋简体" w:hAnsi="仿宋_GB2312" w:eastAsia="方正小标宋简体" w:cs="仿宋_GB2312"/>
          <w:sz w:val="44"/>
          <w:szCs w:val="44"/>
          <w:lang w:val="en-US" w:eastAsia="zh-CN"/>
        </w:rPr>
        <w:t>8</w:t>
      </w:r>
      <w:r>
        <w:rPr>
          <w:rFonts w:hint="eastAsia" w:ascii="方正小标宋简体" w:hAnsi="仿宋_GB2312" w:eastAsia="方正小标宋简体" w:cs="仿宋_GB2312"/>
          <w:sz w:val="44"/>
          <w:szCs w:val="44"/>
        </w:rPr>
        <w:t>年</w:t>
      </w:r>
      <w:r>
        <w:rPr>
          <w:rFonts w:hint="eastAsia" w:ascii="方正小标宋简体" w:hAnsi="仿宋_GB2312" w:eastAsia="方正小标宋简体" w:cs="仿宋_GB2312"/>
          <w:sz w:val="44"/>
          <w:szCs w:val="44"/>
          <w:lang w:eastAsia="zh-CN"/>
        </w:rPr>
        <w:t>东莞市级</w:t>
      </w:r>
      <w:r>
        <w:rPr>
          <w:rFonts w:hint="eastAsia" w:ascii="方正小标宋简体" w:hAnsi="仿宋_GB2312" w:eastAsia="方正小标宋简体" w:cs="仿宋_GB2312"/>
          <w:sz w:val="44"/>
          <w:szCs w:val="44"/>
        </w:rPr>
        <w:t>精准扶贫精准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center"/>
        <w:textAlignment w:val="auto"/>
        <w:outlineLvl w:val="9"/>
        <w:rPr>
          <w:rFonts w:ascii="方正小标宋简体" w:hAnsi="仿宋_GB2312" w:eastAsia="方正小标宋简体" w:cs="仿宋_GB2312"/>
          <w:sz w:val="44"/>
          <w:szCs w:val="44"/>
        </w:rPr>
      </w:pPr>
      <w:r>
        <w:rPr>
          <w:rFonts w:hint="eastAsia" w:ascii="方正小标宋简体" w:hAnsi="仿宋_GB2312" w:eastAsia="方正小标宋简体" w:cs="仿宋_GB2312"/>
          <w:sz w:val="44"/>
          <w:szCs w:val="44"/>
        </w:rPr>
        <w:t>脱贫资金的通知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outlineLvl w:val="9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各镇（街道）、帮扶单位（驻镇工作组）：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5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韶关市</w:t>
      </w:r>
      <w:r>
        <w:rPr>
          <w:rFonts w:hint="eastAsia" w:ascii="仿宋_GB2312" w:hAnsi="仿宋_GB2312" w:eastAsia="仿宋_GB2312" w:cs="仿宋_GB2312"/>
          <w:sz w:val="32"/>
          <w:szCs w:val="32"/>
        </w:rPr>
        <w:t>《关于下达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东莞市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2018年对口帮扶我市</w:t>
      </w:r>
      <w:r>
        <w:rPr>
          <w:rFonts w:hint="eastAsia" w:ascii="仿宋_GB2312" w:hAnsi="仿宋_GB2312" w:eastAsia="仿宋_GB2312" w:cs="仿宋_GB2312"/>
          <w:sz w:val="32"/>
          <w:szCs w:val="32"/>
        </w:rPr>
        <w:t>精准扶贫精准脱贫资金的通知》（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韶</w:t>
      </w:r>
      <w:r>
        <w:rPr>
          <w:rFonts w:hint="eastAsia" w:ascii="仿宋_GB2312" w:hAnsi="仿宋_GB2312" w:eastAsia="仿宋_GB2312" w:cs="仿宋_GB2312"/>
          <w:sz w:val="32"/>
          <w:szCs w:val="32"/>
        </w:rPr>
        <w:t>财农〔201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105</w:t>
      </w:r>
      <w:r>
        <w:rPr>
          <w:rFonts w:hint="eastAsia" w:ascii="仿宋_GB2312" w:hAnsi="仿宋_GB2312" w:eastAsia="仿宋_GB2312" w:cs="仿宋_GB2312"/>
          <w:sz w:val="32"/>
          <w:szCs w:val="32"/>
        </w:rPr>
        <w:t>号）文件精神，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韶关市</w:t>
      </w:r>
      <w:r>
        <w:rPr>
          <w:rFonts w:hint="eastAsia" w:ascii="仿宋_GB2312" w:hAnsi="仿宋_GB2312" w:eastAsia="仿宋_GB2312" w:cs="仿宋_GB2312"/>
          <w:sz w:val="32"/>
          <w:szCs w:val="32"/>
        </w:rPr>
        <w:t>已将201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东莞市级</w:t>
      </w:r>
      <w:r>
        <w:rPr>
          <w:rFonts w:hint="eastAsia" w:ascii="仿宋_GB2312" w:hAnsi="仿宋_GB2312" w:eastAsia="仿宋_GB2312" w:cs="仿宋_GB2312"/>
          <w:sz w:val="32"/>
          <w:szCs w:val="32"/>
        </w:rPr>
        <w:t>精准扶贫精准脱贫资金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2713.6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万元下拨到我市财政局。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由市级预留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300万元用于教育补助发放外，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2413.6万元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下拨给各镇、村（具体金额见附件），并就有关事项通知如下：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5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此项资金使用对象为南雄市新时期建档立卡贫困户，使用范围为用于直接促进扶贫开发帮扶对象增收，包括扶持就业、发展特色产业、增强创收能力、资产收益扶持等。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5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此项资金是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根据截止2017年1月25日南雄市精准扶贫建档立卡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贫困人口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系统数据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进行人均分配，相对贫困村的资金分配到村、面上非贫困村的资金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分配到镇，由镇级统筹安排使用面上非贫困村资金。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5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、此项资金除“以奖代补”项目按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《关于对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2018年“以奖代补”有关细则进行调整的通知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》（雄扶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〔201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的申报程序执行，其余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严格按照《南雄市新时期精准</w:t>
      </w:r>
      <w:r>
        <w:rPr>
          <w:rFonts w:hint="eastAsia" w:ascii="仿宋_GB2312" w:hAnsi="仿宋_GB2312" w:eastAsia="仿宋_GB2312" w:cs="仿宋_GB2312"/>
          <w:sz w:val="32"/>
          <w:szCs w:val="32"/>
        </w:rPr>
        <w:t>扶贫开发专项资金管理办法》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及《关于规范精准扶贫资金使用程序的通知》文件要求</w:t>
      </w:r>
      <w:r>
        <w:rPr>
          <w:rFonts w:hint="eastAsia" w:ascii="仿宋_GB2312" w:hAnsi="仿宋_GB2312" w:eastAsia="仿宋_GB2312" w:cs="仿宋_GB2312"/>
          <w:sz w:val="32"/>
          <w:szCs w:val="32"/>
        </w:rPr>
        <w:t>，以项目申报形式申请。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5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</w:t>
      </w:r>
      <w:r>
        <w:rPr>
          <w:rFonts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各级部门应严格按照韶关市《关于印发＜韶关市精准扶贫开发资金筹集和使用监管细则＞的通知》（韶财农〔201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〕145号）、南雄市《关于印发＜南雄市精准扶贫开发资金筹集和使用监管细则＞的通知》（雄财农〔201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〕58号）文件要求，切实加强资金监管，保证资金及时到位和专款专用。如发现挤占、截留或挪用等违规行为，一经查实，将按照《财政违法行为处罚处分条例》（国务院令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第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427号）有关规定严肃处理。此项资金作为新时期扶贫开发投入的资金来源，纳入新时期精准扶贫的统计范围。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5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、此项资金请列入201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年度“农林水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事务</w:t>
      </w:r>
      <w:r>
        <w:rPr>
          <w:rFonts w:hint="eastAsia" w:ascii="仿宋_GB2312" w:hAnsi="仿宋_GB2312" w:eastAsia="仿宋_GB2312" w:cs="仿宋_GB2312"/>
          <w:sz w:val="32"/>
          <w:szCs w:val="32"/>
        </w:rPr>
        <w:t>-扶贫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-其他扶贫支出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（21305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99</w:t>
      </w:r>
      <w:r>
        <w:rPr>
          <w:rFonts w:hint="eastAsia" w:ascii="仿宋_GB2312" w:hAnsi="仿宋_GB2312" w:eastAsia="仿宋_GB2312" w:cs="仿宋_GB2312"/>
          <w:sz w:val="32"/>
          <w:szCs w:val="32"/>
        </w:rPr>
        <w:t>）”一般公共预算支出科目；经济科目根据支出性质与实际用途列支。年终编报支出决算。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5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5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东莞市级</w:t>
      </w:r>
      <w:r>
        <w:rPr>
          <w:rFonts w:hint="eastAsia" w:ascii="仿宋_GB2312" w:hAnsi="仿宋_GB2312" w:eastAsia="仿宋_GB2312" w:cs="仿宋_GB2312"/>
          <w:sz w:val="32"/>
          <w:szCs w:val="32"/>
        </w:rPr>
        <w:t>精准扶贫精准脱贫资金安排表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320" w:firstLine="645"/>
        <w:jc w:val="right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320"/>
        <w:jc w:val="both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320" w:firstLine="645"/>
        <w:jc w:val="right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南雄市扶贫办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5"/>
        <w:jc w:val="right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</w:t>
      </w:r>
      <w:r>
        <w:rPr>
          <w:rFonts w:ascii="仿宋_GB2312" w:hAnsi="仿宋_GB2312" w:eastAsia="仿宋_GB2312" w:cs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5"/>
        <w:jc w:val="right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692BC1"/>
    <w:multiLevelType w:val="singleLevel"/>
    <w:tmpl w:val="5A692BC1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D259A5"/>
    <w:rsid w:val="0E8C5AB3"/>
    <w:rsid w:val="22D85BFC"/>
    <w:rsid w:val="410F6816"/>
    <w:rsid w:val="506A4E32"/>
    <w:rsid w:val="60255514"/>
    <w:rsid w:val="6AD259A5"/>
    <w:rsid w:val="6D535020"/>
    <w:rsid w:val="7B6B5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2018-04-24T08:28:00Z</dcterms:created>
  <dc:creator>Administrator</dc:creator>
  <cp:lastModifiedBy>Administrator</cp:lastModifiedBy>
  <dcterms:modified xsi:type="dcterms:W3CDTF">2018-07-19T02:06:23Z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